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能源化工工程学院2023年课程评估工作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根据学校下发的关于开展2023年课程评估工作的通知，结合学院情况，现将我院的工作安排如下：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我院参评课程及负责人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能源化工工程学院2023年课程评估课程如下表所示：</w:t>
      </w:r>
    </w:p>
    <w:tbl>
      <w:tblPr>
        <w:tblStyle w:val="5"/>
        <w:tblpPr w:leftFromText="180" w:rightFromText="180" w:vertAnchor="text" w:horzAnchor="page" w:tblpX="1251" w:tblpY="449"/>
        <w:tblOverlap w:val="never"/>
        <w:tblW w:w="103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469"/>
        <w:gridCol w:w="1377"/>
        <w:gridCol w:w="2958"/>
        <w:gridCol w:w="1682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78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469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专业名称</w:t>
            </w:r>
          </w:p>
        </w:tc>
        <w:tc>
          <w:tcPr>
            <w:tcW w:w="137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课程类型</w:t>
            </w:r>
          </w:p>
        </w:tc>
        <w:tc>
          <w:tcPr>
            <w:tcW w:w="2958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课程名称</w:t>
            </w:r>
          </w:p>
        </w:tc>
        <w:tc>
          <w:tcPr>
            <w:tcW w:w="1682" w:type="dxa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课程编号</w:t>
            </w:r>
          </w:p>
        </w:tc>
        <w:tc>
          <w:tcPr>
            <w:tcW w:w="2051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课程负责人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469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过程装备与控制工程</w:t>
            </w:r>
          </w:p>
        </w:tc>
        <w:tc>
          <w:tcPr>
            <w:tcW w:w="1377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机械设计基础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2103Z0010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马随东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过程装备与控制工程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化工原理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2103Z0020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刘海军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过程装备与控制工程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化工原理实验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2103Z0030</w:t>
            </w:r>
          </w:p>
        </w:tc>
        <w:tc>
          <w:tcPr>
            <w:tcW w:w="205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孙天霷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能源化学工程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能源化工工艺学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2103Z1060</w:t>
            </w:r>
          </w:p>
        </w:tc>
        <w:tc>
          <w:tcPr>
            <w:tcW w:w="2051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陈利威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能源化学工程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化工原理B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2103Z101B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张景梅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能源化学工程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化工原理实验B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2103Z102B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童德彬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能源化学工程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化工热力学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2103Z1040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岳凡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exact"/>
        </w:trPr>
        <w:tc>
          <w:tcPr>
            <w:tcW w:w="780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146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能源化学工程</w:t>
            </w:r>
          </w:p>
        </w:tc>
        <w:tc>
          <w:tcPr>
            <w:tcW w:w="1377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专业核心课</w:t>
            </w:r>
          </w:p>
        </w:tc>
        <w:tc>
          <w:tcPr>
            <w:tcW w:w="295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化工设备基础</w:t>
            </w:r>
          </w:p>
        </w:tc>
        <w:tc>
          <w:tcPr>
            <w:tcW w:w="16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2103Z1030</w:t>
            </w:r>
          </w:p>
        </w:tc>
        <w:tc>
          <w:tcPr>
            <w:tcW w:w="2051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宋江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时间节点及工作要求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课程梳理阶段：</w:t>
      </w:r>
      <w:r>
        <w:rPr>
          <w:rFonts w:hint="eastAsia" w:ascii="仿宋" w:hAnsi="仿宋"/>
          <w:sz w:val="32"/>
          <w:szCs w:val="32"/>
          <w:lang w:val="en-US" w:eastAsia="zh-CN"/>
        </w:rPr>
        <w:t>课程名单上报教务处。10月16日 负责人为蒋宇宁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3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自评报告及自评材料整理准备阶段：</w:t>
      </w:r>
      <w:r>
        <w:rPr>
          <w:rFonts w:hint="default" w:ascii="仿宋" w:hAnsi="仿宋"/>
          <w:sz w:val="32"/>
          <w:szCs w:val="32"/>
          <w:lang w:val="en-US" w:eastAsia="zh-CN"/>
        </w:rPr>
        <w:t>各课程团队根据《新疆理工学院学院课程评估指标》(附件2)，对所负责的课程进行自评并形成课程评估自评报告(附件3)，报所在教研室审核。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11月9日上午下班前上交附件3并完成签字。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工作要求：教研室主任要及时督促课程负责人撰写自评报告，准备自评材料，严格要求自评报告的质量。课程评估自评报告的撰写为团队撰写，教研室主任和课程负责人要联系对接好本课程的团队教师，做好分工汇总整合工作。负责人为马彪、张景梅；联系人为汪春娟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学院自评阶段：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学院成立5人专家组，暂定的专家组教师为陈华梅、郭勤、王慧、曹星慧、户新宇。工作组组员根据课程自评报告、查看教学资料、实地听课情况，结合学校督导听课、同行听课、学生评课情况分别在《新疆理工学院课程评估自评报告》中给出评估结果及修改意见。每位组员皆给出通过结论的课程方可视为达标，工作组复核、确认达标课程自评结论，连同《院(部)课程评估结果汇总表》(附件4)报教务处备案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11月10</w:t>
      </w:r>
      <w:bookmarkStart w:id="0" w:name="_GoBack"/>
      <w:bookmarkEnd w:id="0"/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日完成学院自评及汇总表的整理。联络员为汪春娟老师。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学校评审阶段：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本阶段为11月10日-12月10日，由教务处组织，学院联络教师为汪春娟老师。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反馈整改阶段：</w:t>
      </w:r>
      <w:r>
        <w:rPr>
          <w:rFonts w:hint="eastAsia" w:ascii="仿宋" w:hAnsi="仿宋"/>
          <w:b w:val="0"/>
          <w:bCs w:val="0"/>
          <w:sz w:val="32"/>
          <w:szCs w:val="32"/>
          <w:lang w:val="en-US" w:eastAsia="zh-CN"/>
        </w:rPr>
        <w:t>收到反馈意见后，课程团队针对评估指出的问题和专家建议制定课程整改方案，实施有效整改，学院专家组在整改期间再次组织抽查,查看整改成效。12月20日前将课程整改方案报送至学校教务处。学院联络员为汪春娟老师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eastAsia" w:ascii="仿宋" w:hAnsi="仿宋"/>
          <w:b/>
          <w:bCs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3" w:firstLineChars="200"/>
        <w:jc w:val="left"/>
        <w:textAlignment w:val="auto"/>
        <w:rPr>
          <w:rFonts w:hint="default" w:ascii="仿宋" w:hAnsi="仿宋"/>
          <w:b/>
          <w:bCs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能源化工工程学院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right"/>
        <w:textAlignment w:val="auto"/>
        <w:rPr>
          <w:rFonts w:hint="default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2023年11月1日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6F4C54E-64E0-45CA-B65D-10CF936B49F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D1CE70D-ED5E-480F-9D45-75E6C73715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CEDCEB-9BC4-43CC-A310-864A81B6452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CC6E8E5-B854-4E06-B323-1BDB97525F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D4516F-A27C-4610-9A9C-3E4B6740B93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A9D10E8-735A-4E3D-AFFC-C71549936B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CB091F5-70A7-4760-8B45-5836307FB03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37F4F762-2030-4095-B5E0-A6F50EDCCB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61EA64"/>
    <w:multiLevelType w:val="singleLevel"/>
    <w:tmpl w:val="0B61EA6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7E8D13C"/>
    <w:multiLevelType w:val="singleLevel"/>
    <w:tmpl w:val="17E8D1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0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9E04D54"/>
    <w:rsid w:val="0AE01B90"/>
    <w:rsid w:val="0B1E10E1"/>
    <w:rsid w:val="0B3F43BD"/>
    <w:rsid w:val="11B433DE"/>
    <w:rsid w:val="12991A3E"/>
    <w:rsid w:val="13405DEA"/>
    <w:rsid w:val="171244A9"/>
    <w:rsid w:val="186C7681"/>
    <w:rsid w:val="1DA956BC"/>
    <w:rsid w:val="1EDD2B2F"/>
    <w:rsid w:val="200F124D"/>
    <w:rsid w:val="230627F9"/>
    <w:rsid w:val="259D5A59"/>
    <w:rsid w:val="267C6E59"/>
    <w:rsid w:val="27A12394"/>
    <w:rsid w:val="2A2E4796"/>
    <w:rsid w:val="2CBC252D"/>
    <w:rsid w:val="2FA362B7"/>
    <w:rsid w:val="30E65DCB"/>
    <w:rsid w:val="31A5592F"/>
    <w:rsid w:val="31D420C7"/>
    <w:rsid w:val="32EE69C5"/>
    <w:rsid w:val="35077B05"/>
    <w:rsid w:val="38910E08"/>
    <w:rsid w:val="399B7BFD"/>
    <w:rsid w:val="3C123F18"/>
    <w:rsid w:val="42683498"/>
    <w:rsid w:val="48181047"/>
    <w:rsid w:val="4B47565A"/>
    <w:rsid w:val="4C765016"/>
    <w:rsid w:val="4D624D8F"/>
    <w:rsid w:val="510B7FB1"/>
    <w:rsid w:val="514B3FD8"/>
    <w:rsid w:val="532D3ECB"/>
    <w:rsid w:val="54534DCF"/>
    <w:rsid w:val="54FE7B2D"/>
    <w:rsid w:val="55430F31"/>
    <w:rsid w:val="560A0C47"/>
    <w:rsid w:val="5756146C"/>
    <w:rsid w:val="5B17750D"/>
    <w:rsid w:val="5C8F4CDC"/>
    <w:rsid w:val="627D333A"/>
    <w:rsid w:val="64B75804"/>
    <w:rsid w:val="691F45E2"/>
    <w:rsid w:val="745B7101"/>
    <w:rsid w:val="750D5096"/>
    <w:rsid w:val="771D13E7"/>
    <w:rsid w:val="78EE551A"/>
    <w:rsid w:val="7BDA4711"/>
    <w:rsid w:val="7D00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16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2023-11-02T15:56:21Z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C0D01692B4414D09BF140111BE23CEEC_13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