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kinsoku/>
        <w:wordWrap/>
        <w:overflowPunct/>
        <w:topLinePunct w:val="0"/>
        <w:autoSpaceDE/>
        <w:autoSpaceDN/>
        <w:bidi w:val="0"/>
        <w:adjustRightInd w:val="0"/>
        <w:snapToGrid/>
        <w:spacing w:after="0" w:afterLines="0" w:line="1700" w:lineRule="exact"/>
        <w:ind w:right="23" w:rightChars="11"/>
        <w:jc w:val="center"/>
        <w:textAlignment w:val="auto"/>
        <w:rPr>
          <w:rFonts w:hint="eastAsia" w:ascii="方正小标宋_GBK" w:hAnsi="方正小标宋_GBK" w:eastAsia="方正小标宋_GBK" w:cs="方正小标宋_GBK"/>
          <w:b/>
          <w:spacing w:val="20"/>
          <w:w w:val="50"/>
          <w:kern w:val="15"/>
          <w:sz w:val="96"/>
          <w:szCs w:val="96"/>
          <w:lang w:val="en-US" w:eastAsia="zh-CN"/>
        </w:rPr>
      </w:pPr>
      <w:r>
        <w:rPr>
          <w:rFonts w:hint="eastAsia" w:ascii="方正小标宋_GBK" w:hAnsi="方正小标宋_GBK" w:eastAsia="方正小标宋_GBK" w:cs="方正小标宋_GBK"/>
          <w:b/>
          <w:spacing w:val="20"/>
          <w:w w:val="50"/>
          <w:kern w:val="15"/>
          <w:sz w:val="96"/>
          <w:szCs w:val="96"/>
          <w:lang w:val="en-US" w:eastAsia="zh-CN"/>
        </w:rPr>
        <w:t>能源化工工程学院教学办</w:t>
      </w:r>
    </w:p>
    <w:p>
      <w:pPr>
        <w:keepNext w:val="0"/>
        <w:keepLines w:val="0"/>
        <w:pageBreakBefore w:val="0"/>
        <w:widowControl w:val="0"/>
        <w:kinsoku/>
        <w:wordWrap/>
        <w:overflowPunct/>
        <w:topLinePunct w:val="0"/>
        <w:autoSpaceDE/>
        <w:autoSpaceDN/>
        <w:bidi w:val="0"/>
        <w:adjustRightInd/>
        <w:snapToGrid/>
        <w:spacing w:before="240"/>
        <w:ind w:right="0" w:rightChars="0"/>
        <w:jc w:val="left"/>
        <w:textAlignment w:val="auto"/>
        <w:rPr>
          <w:rFonts w:hint="eastAsia" w:ascii="黑体" w:hAnsi="黑体" w:eastAsia="黑体" w:cs="黑体"/>
          <w:b w:val="0"/>
          <w:bCs/>
          <w:color w:val="000000" w:themeColor="text1"/>
          <w:kern w:val="21"/>
          <w:position w:val="0"/>
          <w:sz w:val="32"/>
          <w:szCs w:val="32"/>
          <w:lang w:val="en-US" w:eastAsia="zh-CN"/>
          <w14:textFill>
            <w14:solidFill>
              <w14:schemeClr w14:val="tx1"/>
            </w14:solidFill>
          </w14:textFill>
        </w:rPr>
      </w:pPr>
      <w:r>
        <w:rPr>
          <w:b/>
          <w:spacing w:val="20"/>
          <w:w w:val="50"/>
          <w:kern w:val="15"/>
          <w:sz w:val="144"/>
          <w:szCs w:val="144"/>
        </w:rPr>
        <mc:AlternateContent>
          <mc:Choice Requires="wps">
            <w:drawing>
              <wp:anchor distT="0" distB="0" distL="114935" distR="114935" simplePos="0" relativeHeight="251659264" behindDoc="0" locked="0" layoutInCell="1" allowOverlap="1">
                <wp:simplePos x="0" y="0"/>
                <wp:positionH relativeFrom="column">
                  <wp:posOffset>-289560</wp:posOffset>
                </wp:positionH>
                <wp:positionV relativeFrom="paragraph">
                  <wp:posOffset>60325</wp:posOffset>
                </wp:positionV>
                <wp:extent cx="6120130" cy="0"/>
                <wp:effectExtent l="15875" t="15875" r="17145" b="22225"/>
                <wp:wrapNone/>
                <wp:docPr id="5" name="直接连接符 5"/>
                <wp:cNvGraphicFramePr/>
                <a:graphic xmlns:a="http://schemas.openxmlformats.org/drawingml/2006/main">
                  <a:graphicData uri="http://schemas.microsoft.com/office/word/2010/wordprocessingShape">
                    <wps:wsp>
                      <wps:cNvCnPr/>
                      <wps:spPr>
                        <a:xfrm>
                          <a:off x="1198245" y="2512695"/>
                          <a:ext cx="6120130" cy="0"/>
                        </a:xfrm>
                        <a:prstGeom prst="line">
                          <a:avLst/>
                        </a:prstGeom>
                        <a:ln w="31750" cap="sq" cmpd="dbl">
                          <a:solidFill>
                            <a:srgbClr val="FF0000"/>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8pt;margin-top:4.75pt;height:0pt;width:481.9pt;z-index:251659264;mso-width-relative:page;mso-height-relative:page;" filled="f" stroked="t" coordsize="21600,21600" o:gfxdata="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ZuuhNUAAAAHAQAADwAAAAAA&#10;AAABACAAAAAiAAAAZHJzL2Rvd25yZXYueG1sUEsBAhQAFAAAAAgAh07iQCxFbLLdAQAAiwMAAA4A&#10;AAAAAAAAAQAgAAAAJAEAAGRycy9lMm9Eb2MueG1sUEsFBgAAAAAGAAYAWQEAAHMFAAAAAA==&#10;">
                <v:fill on="f" focussize="0,0"/>
                <v:stroke weight="2.5pt" color="#FF0000" linestyle="thinThin" joinstyle="round" endcap="square"/>
                <v:imagedata o:title=""/>
                <o:lock v:ext="edit" aspectratio="f"/>
              </v:line>
            </w:pict>
          </mc:Fallback>
        </mc:AlternateContent>
      </w:r>
      <w:r>
        <w:rPr>
          <w:rFonts w:hint="eastAsia" w:ascii="仿宋" w:hAnsi="仿宋" w:eastAsia="仿宋" w:cs="仿宋"/>
          <w:b w:val="0"/>
          <w:bCs/>
          <w:color w:val="000000" w:themeColor="text1"/>
          <w:kern w:val="21"/>
          <w:position w:val="0"/>
          <w:sz w:val="32"/>
          <w:szCs w:val="32"/>
          <w:lang w:val="en-US" w:eastAsia="zh-CN"/>
          <w14:textFill>
            <w14:solidFill>
              <w14:schemeClr w14:val="tx1"/>
            </w14:solidFill>
          </w14:textFill>
        </w:rPr>
        <w:t xml:space="preserve">                            </w:t>
      </w:r>
    </w:p>
    <w:p>
      <w:pPr>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能源化工工程学院2023-2024年度第一学期学生座谈会及工作建议</w:t>
      </w:r>
    </w:p>
    <w:p>
      <w:pPr>
        <w:jc w:val="center"/>
        <w:rPr>
          <w:rFonts w:hint="eastAsia" w:ascii="方正小标宋_GBK" w:hAnsi="方正小标宋_GBK" w:eastAsia="方正小标宋_GBK" w:cs="方正小标宋_GBK"/>
          <w:b w:val="0"/>
          <w:bCs w:val="0"/>
          <w:sz w:val="44"/>
          <w:szCs w:val="44"/>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能源化工工程学院2023-2024年度第一学期学生座谈会于2023年10月30日开展了，学生反应了一些较为合理的建议和意见，现将学生反馈意见及能源化工工程学院教学办给出的指导性意见和工作建议做如下说明：</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一、教学方面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1.学生指出杨文兰老师依赖ppt授课现象</w:t>
      </w:r>
      <w:bookmarkStart w:id="0" w:name="_GoBack"/>
      <w:bookmarkEnd w:id="0"/>
      <w:r>
        <w:rPr>
          <w:rFonts w:hint="eastAsia" w:ascii="仿宋" w:hAnsi="仿宋" w:eastAsia="仿宋" w:cs="仿宋"/>
          <w:sz w:val="32"/>
          <w:szCs w:val="32"/>
          <w:lang w:val="en-US" w:eastAsia="zh-CN"/>
        </w:rPr>
        <w:t>较为严重。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教学办建议：</w:t>
      </w:r>
      <w:r>
        <w:rPr>
          <w:rFonts w:hint="eastAsia" w:ascii="仿宋" w:hAnsi="仿宋" w:eastAsia="仿宋" w:cs="仿宋"/>
          <w:sz w:val="32"/>
          <w:szCs w:val="32"/>
          <w:lang w:val="en-US" w:eastAsia="zh-CN"/>
        </w:rPr>
        <w:t>教研室单独和教师进行交流沟通反馈，希望能够进一步加强备课的充分度，教研室在排课的时候，尽量要避免给老师安排新课，通过多轮讲解提高老师的熟悉度。</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学生指出电工电子学课程，理论力学课程教师在授课时候，课程开始之前会叫几名学生上台对上一节课的内容进行复习一下，但大多数时候学生准备不太好，在讲台上会束手无措。</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教学办建议：</w:t>
      </w:r>
      <w:r>
        <w:rPr>
          <w:rFonts w:hint="eastAsia" w:ascii="仿宋" w:hAnsi="仿宋" w:eastAsia="仿宋" w:cs="仿宋"/>
          <w:sz w:val="32"/>
          <w:szCs w:val="32"/>
          <w:lang w:val="en-US" w:eastAsia="zh-CN"/>
        </w:rPr>
        <w:t>教师可以提前告知上台学生，进行提前准备。或者采用智慧化平台让大多数学生参与的形式，提高教学效率，避免尴尬的现象发生。</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学生反应，催化原理课程，教师教学过程中ppt内容和课本内容完全不符，有的相差几个章节或者二十多页。</w:t>
      </w:r>
    </w:p>
    <w:p>
      <w:pPr>
        <w:keepNext w:val="0"/>
        <w:keepLines w:val="0"/>
        <w:pageBreakBefore w:val="0"/>
        <w:widowControl w:val="0"/>
        <w:numPr>
          <w:ilvl w:val="0"/>
          <w:numId w:val="0"/>
        </w:numPr>
        <w:kinsoku/>
        <w:wordWrap/>
        <w:overflowPunct/>
        <w:topLinePunct w:val="0"/>
        <w:autoSpaceDE/>
        <w:autoSpaceDN/>
        <w:bidi w:val="0"/>
        <w:adjustRightInd/>
        <w:snapToGrid/>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教学办建议：教研室要对</w:t>
      </w:r>
      <w:r>
        <w:rPr>
          <w:rFonts w:hint="eastAsia" w:ascii="仿宋" w:hAnsi="仿宋" w:eastAsia="仿宋" w:cs="仿宋"/>
          <w:sz w:val="32"/>
          <w:szCs w:val="32"/>
          <w:lang w:val="en-US" w:eastAsia="zh-CN"/>
        </w:rPr>
        <w:t>上课的老师在备课相关情况进行重视，一是教研室商议一下，是否要脱离课本进行授课。二是找到一个比较好的方法，如采用案例教学法对知识点进行融合，让学生更加能够听懂。</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学生反应7号楼部分教师对电子设备不够熟练，导致上课时候错误操作电子屏导致锁屏，影响上课的进度。</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教学办建议：</w:t>
      </w:r>
      <w:r>
        <w:rPr>
          <w:rFonts w:hint="eastAsia" w:ascii="仿宋" w:hAnsi="仿宋" w:eastAsia="仿宋" w:cs="仿宋"/>
          <w:sz w:val="32"/>
          <w:szCs w:val="32"/>
          <w:lang w:val="en-US" w:eastAsia="zh-CN"/>
        </w:rPr>
        <w:t>以教研室为单位，由1-2名老教师带着新教师对电子设备进行学习。如果后期一旦发生类似情况，要求教师能够脱离电子屏完成后续的教学工作，直至下课后进行处理。</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学生反应部分化学课教师上课较快，线上自学内容过多。</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教学办建议：</w:t>
      </w:r>
      <w:r>
        <w:rPr>
          <w:rFonts w:hint="eastAsia" w:ascii="仿宋" w:hAnsi="仿宋" w:eastAsia="仿宋" w:cs="仿宋"/>
          <w:sz w:val="32"/>
          <w:szCs w:val="32"/>
          <w:lang w:val="en-US" w:eastAsia="zh-CN"/>
        </w:rPr>
        <w:t>教研室对教学的重点难点进行分析，引导教师捋清思路，对课程的重点难点进行重点讲解，根据专业情况进行适当的重难点偏向。</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学生认为CAD四节联排不合理，无机化学、分析化学实验也建议不要四节联排。物理化学、有机化学需要四节联排。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教学办建议：</w:t>
      </w:r>
      <w:r>
        <w:rPr>
          <w:rFonts w:hint="eastAsia" w:ascii="仿宋" w:hAnsi="仿宋" w:eastAsia="仿宋" w:cs="仿宋"/>
          <w:sz w:val="32"/>
          <w:szCs w:val="32"/>
          <w:lang w:val="en-US" w:eastAsia="zh-CN"/>
        </w:rPr>
        <w:t>教研室对以上反应的情况进行讨论，在下一轮排课的过程中进行调整。</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学生指出排课的单双周差别较大、个别天数课程比较集中等相关的排课的问题。</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教学办承诺在后期的排课过程中更加细致的做好师生的服务工作</w:t>
      </w:r>
      <w:r>
        <w:rPr>
          <w:rFonts w:hint="eastAsia" w:ascii="仿宋" w:hAnsi="仿宋" w:eastAsia="仿宋" w:cs="仿宋"/>
          <w:sz w:val="32"/>
          <w:szCs w:val="32"/>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学生指出学委一个人收作业，交作业太辛苦了。</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教学办建议：每个课程选出一名课程学习较好的学生作为课程负责人，负责交作业。也可以采用智慧化教学工具进行线上作业，后期导出电子材料进行光盘刻录。</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二、学生管理生活方面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1.晚自习未利用好的问题，大多数学生玩手机，电脑，希望在大二起实行一周2次晚自习，不要天天自习。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2.纪检部等学生干部在工作时态度粗暴，方法不得体的问题。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3.个别教师对学生态度不好的问题，言语粗暴的现象存在。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4.团课每周学习方法不好，效果不佳的问题。建议可以采取多种形式不要在教室开展，可以在户外开展个性化的团课。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5.七号楼部分教室卫生太差。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6.学生被通报后的后果过重，要写检讨、义务劳动、还会在下一学期申请奖助学金降低一个等级。学生认为改后果过重了。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7.电动车充电混乱、缺少充电点。宿舍供暖的问题。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8.7号楼饮水机迟迟不换滤芯的问题。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以上问题提交给学院学工办，请学工团队研究讨论，争取提升学院的服务水平。</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三、需向学校反馈的问题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1.学生建议维持错峰上课机制，或者维持前面大课间40分钟的机制。主要原因为食堂紧张，西区食堂未开门，导致集中吃饭的学生过多。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2.学生建议及时提前公布放假时间以备提前购票。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3.电工电子学课程 艾力老师的普通话需提高。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4.大学物理课程  拜山老师知识点不够扎实。</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5.公共选修课以及其他选课，建议提前公布，留足较长的选课时间，增强服务器的负载量。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5120" w:firstLineChars="1600"/>
        <w:textAlignment w:val="auto"/>
        <w:rPr>
          <w:rFonts w:hint="default" w:ascii="仿宋" w:hAnsi="仿宋" w:eastAsia="仿宋" w:cs="仿宋"/>
          <w:sz w:val="32"/>
          <w:szCs w:val="32"/>
          <w:lang w:val="en-US" w:eastAsia="zh-CN"/>
        </w:rPr>
      </w:pPr>
      <w:r>
        <w:rPr>
          <w:rFonts w:hint="eastAsia" w:ascii="仿宋" w:hAnsi="仿宋" w:eastAsia="仿宋"/>
          <w:sz w:val="32"/>
          <w:szCs w:val="32"/>
          <w:lang w:eastAsia="zh-CN"/>
        </w:rPr>
        <w:t>能源化工工程学院教学办</w:t>
      </w:r>
      <w:r>
        <w:rPr>
          <w:rFonts w:hint="eastAsia" w:ascii="仿宋" w:hAnsi="仿宋" w:eastAsia="仿宋" w:cs="仿宋"/>
          <w:sz w:val="32"/>
          <w:szCs w:val="32"/>
          <w:lang w:val="en-US" w:eastAsia="zh-CN"/>
        </w:rPr>
        <w:t xml:space="preserve">   </w:t>
      </w:r>
    </w:p>
    <w:p>
      <w:pPr>
        <w:pStyle w:val="8"/>
        <w:keepNext w:val="0"/>
        <w:keepLines w:val="0"/>
        <w:pageBreakBefore w:val="0"/>
        <w:widowControl/>
        <w:tabs>
          <w:tab w:val="left" w:pos="7980"/>
        </w:tabs>
        <w:kinsoku/>
        <w:wordWrap w:val="0"/>
        <w:overflowPunct/>
        <w:topLinePunct w:val="0"/>
        <w:autoSpaceDE/>
        <w:autoSpaceDN/>
        <w:bidi w:val="0"/>
        <w:adjustRightInd/>
        <w:snapToGrid/>
        <w:spacing w:line="240" w:lineRule="auto"/>
        <w:ind w:right="0" w:rightChars="0"/>
        <w:jc w:val="right"/>
        <w:textAlignment w:val="auto"/>
        <w:rPr>
          <w:rFonts w:hint="eastAsia" w:ascii="仿宋" w:hAnsi="仿宋"/>
          <w:sz w:val="32"/>
          <w:szCs w:val="32"/>
          <w:lang w:val="en-US" w:eastAsia="zh-CN"/>
        </w:rPr>
      </w:pPr>
      <w:r>
        <w:rPr>
          <w:rFonts w:ascii="仿宋" w:hAnsi="仿宋"/>
          <w:sz w:val="32"/>
          <w:szCs w:val="32"/>
        </w:rPr>
        <w:t>2</w:t>
      </w:r>
      <w:r>
        <w:rPr>
          <w:rFonts w:hint="eastAsia" w:ascii="仿宋" w:hAnsi="仿宋"/>
          <w:sz w:val="32"/>
          <w:szCs w:val="32"/>
        </w:rPr>
        <w:t>0</w:t>
      </w:r>
      <w:r>
        <w:rPr>
          <w:rFonts w:hint="eastAsia" w:ascii="仿宋" w:hAnsi="仿宋"/>
          <w:sz w:val="32"/>
          <w:szCs w:val="32"/>
          <w:lang w:val="en-US" w:eastAsia="zh-CN"/>
        </w:rPr>
        <w:t>23</w:t>
      </w:r>
      <w:r>
        <w:rPr>
          <w:rFonts w:hint="eastAsia" w:ascii="仿宋" w:hAnsi="仿宋"/>
          <w:sz w:val="32"/>
          <w:szCs w:val="32"/>
        </w:rPr>
        <w:t>年</w:t>
      </w:r>
      <w:r>
        <w:rPr>
          <w:rFonts w:hint="eastAsia" w:ascii="仿宋" w:hAnsi="仿宋"/>
          <w:sz w:val="32"/>
          <w:szCs w:val="32"/>
          <w:lang w:val="en-US" w:eastAsia="zh-CN"/>
        </w:rPr>
        <w:t>11</w:t>
      </w:r>
      <w:r>
        <w:rPr>
          <w:rFonts w:hint="eastAsia" w:ascii="仿宋" w:hAnsi="仿宋"/>
          <w:sz w:val="32"/>
          <w:szCs w:val="32"/>
        </w:rPr>
        <w:t>月</w:t>
      </w:r>
      <w:r>
        <w:rPr>
          <w:rFonts w:hint="eastAsia" w:ascii="仿宋" w:hAnsi="仿宋"/>
          <w:sz w:val="32"/>
          <w:szCs w:val="32"/>
          <w:lang w:val="en-US" w:eastAsia="zh-CN"/>
        </w:rPr>
        <w:t>02</w:t>
      </w:r>
      <w:r>
        <w:rPr>
          <w:rFonts w:hint="eastAsia" w:ascii="仿宋" w:hAnsi="仿宋"/>
          <w:sz w:val="32"/>
          <w:szCs w:val="32"/>
        </w:rPr>
        <w:t>日</w:t>
      </w:r>
      <w:r>
        <w:rPr>
          <w:rFonts w:hint="eastAsia" w:ascii="仿宋" w:hAnsi="仿宋"/>
          <w:sz w:val="32"/>
          <w:szCs w:val="32"/>
          <w:lang w:val="en-US" w:eastAsia="zh-CN"/>
        </w:rPr>
        <w:t xml:space="preserve">   </w:t>
      </w:r>
    </w:p>
    <w:p>
      <w:pPr>
        <w:pStyle w:val="8"/>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jc w:val="left"/>
        <w:textAlignment w:val="auto"/>
        <w:rPr>
          <w:rFonts w:hint="eastAsia" w:ascii="仿宋" w:hAnsi="仿宋"/>
          <w:sz w:val="32"/>
          <w:szCs w:val="32"/>
          <w:lang w:val="en-US" w:eastAsia="zh-CN"/>
        </w:rPr>
      </w:pPr>
    </w:p>
    <w:p>
      <w:pPr>
        <w:pStyle w:val="8"/>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8"/>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eastAsia="仿宋"/>
          <w:sz w:val="32"/>
          <w:szCs w:val="32"/>
          <w:lang w:val="en-US" w:eastAsia="zh-CN"/>
        </w:rPr>
      </w:pPr>
      <w:r>
        <w:rPr>
          <w:rFonts w:hint="eastAsia" w:ascii="仿宋" w:hAnsi="仿宋"/>
          <w:sz w:val="32"/>
          <w:szCs w:val="32"/>
          <w:lang w:val="en-US" w:eastAsia="zh-CN"/>
        </w:rPr>
        <w:t xml:space="preserve">抄送：能化教研室、过控教研室、能服教研室、储能教研室、材化教研室、能源化工工程学院学工办、教务处 </w:t>
      </w:r>
    </w:p>
    <w:p>
      <w:pPr>
        <w:keepNext w:val="0"/>
        <w:keepLines w:val="0"/>
        <w:pageBreakBefore w:val="0"/>
        <w:widowControl w:val="0"/>
        <w:kinsoku/>
        <w:wordWrap/>
        <w:overflowPunct/>
        <w:topLinePunct w:val="0"/>
        <w:autoSpaceDE/>
        <w:autoSpaceDN/>
        <w:bidi w:val="0"/>
        <w:adjustRightInd/>
        <w:snapToGrid/>
        <w:ind w:right="-395" w:rightChars="-188"/>
        <w:jc w:val="left"/>
        <w:textAlignment w:val="auto"/>
        <w:rPr>
          <w:rFonts w:hint="eastAsia" w:ascii="仿宋" w:hAnsi="仿宋" w:eastAsia="仿宋" w:cs="仿宋"/>
          <w:sz w:val="32"/>
          <w:szCs w:val="32"/>
          <w:lang w:val="en-US" w:eastAsia="zh-CN"/>
        </w:rPr>
      </w:pPr>
      <w:r>
        <w:rPr>
          <w:sz w:val="130"/>
        </w:rPr>
        <mc:AlternateContent>
          <mc:Choice Requires="wps">
            <w:drawing>
              <wp:anchor distT="0" distB="0" distL="114300" distR="114300" simplePos="0" relativeHeight="251660288" behindDoc="1" locked="0" layoutInCell="1" allowOverlap="1">
                <wp:simplePos x="0" y="0"/>
                <wp:positionH relativeFrom="column">
                  <wp:posOffset>-256540</wp:posOffset>
                </wp:positionH>
                <wp:positionV relativeFrom="bottomMargin">
                  <wp:posOffset>0</wp:posOffset>
                </wp:positionV>
                <wp:extent cx="6120130" cy="0"/>
                <wp:effectExtent l="0" t="33020" r="6350" b="43180"/>
                <wp:wrapTight wrapText="bothSides">
                  <wp:wrapPolygon>
                    <wp:start x="31" y="0"/>
                    <wp:lineTo x="31" y="-2147483648"/>
                    <wp:lineTo x="21600" y="-2147483648"/>
                    <wp:lineTo x="21600" y="0"/>
                    <wp:lineTo x="31" y="0"/>
                  </wp:wrapPolygon>
                </wp:wrapTight>
                <wp:docPr id="6" name="直接连接符 6"/>
                <wp:cNvGraphicFramePr/>
                <a:graphic xmlns:a="http://schemas.openxmlformats.org/drawingml/2006/main">
                  <a:graphicData uri="http://schemas.microsoft.com/office/word/2010/wordprocessingShape">
                    <wps:wsp>
                      <wps:cNvCnPr/>
                      <wps:spPr>
                        <a:xfrm flipH="1" flipV="1">
                          <a:off x="0" y="0"/>
                          <a:ext cx="6120130" cy="0"/>
                        </a:xfrm>
                        <a:prstGeom prst="line">
                          <a:avLst/>
                        </a:prstGeom>
                        <a:ln w="66675"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9.15pt;margin-top:781.3pt;height:0pt;width:481.9pt;mso-position-horizontal-relative:page;mso-position-vertical-relative:page;mso-wrap-distance-left:9pt;mso-wrap-distance-right:9pt;z-index:-251656192;mso-width-relative:page;mso-height-relative:page;" filled="f" stroked="t" coordsize="21600,21600" wrapcoords="31 0 31 -2147483648 21600 -2147483648 21600 0 31 0" o:gfxdata="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k5BB9MAAAAFAQAADwAAAAAAAAABACAAAAAiAAAAZHJzL2Rvd25yZXYueG1sUEsBAhQA&#10;FAAAAAgAh07iQFUj5l33AQAAzAMAAA4AAAAAAAAAAQAgAAAAIgEAAGRycy9lMm9Eb2MueG1sUEsF&#10;BgAAAAAGAAYAWQEAAIsFAAAAAA==&#10;">
                <v:fill on="f" focussize="0,0"/>
                <v:stroke weight="5.25pt" color="#FF0000 [3204]" linestyle="thickThin" miterlimit="8" joinstyle="miter"/>
                <v:imagedata o:title=""/>
                <o:lock v:ext="edit" aspectratio="f"/>
                <w10:wrap type="tight"/>
              </v:line>
            </w:pict>
          </mc:Fallback>
        </mc:AlternateContent>
      </w:r>
    </w:p>
    <w:sectPr>
      <w:footerReference r:id="rId3" w:type="default"/>
      <w:type w:val="evenPage"/>
      <w:pgSz w:w="11906" w:h="16838"/>
      <w:pgMar w:top="1701" w:right="1474" w:bottom="113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45BA78-A058-4470-8A79-D7B1301692A0}"/>
  </w:font>
  <w:font w:name="Arial">
    <w:panose1 w:val="020B0604020202020204"/>
    <w:charset w:val="01"/>
    <w:family w:val="swiss"/>
    <w:pitch w:val="default"/>
    <w:sig w:usb0="E0002AFF" w:usb1="C0007843" w:usb2="00000009" w:usb3="00000000" w:csb0="400001FF" w:csb1="FFFF0000"/>
    <w:embedRegular r:id="rId2" w:fontKey="{58CE8767-E4D7-4CA5-95AF-8FCEF230D7A2}"/>
  </w:font>
  <w:font w:name="黑体">
    <w:panose1 w:val="02010609060101010101"/>
    <w:charset w:val="86"/>
    <w:family w:val="auto"/>
    <w:pitch w:val="default"/>
    <w:sig w:usb0="800002BF" w:usb1="38CF7CFA" w:usb2="00000016" w:usb3="00000000" w:csb0="00040001" w:csb1="00000000"/>
    <w:embedRegular r:id="rId3" w:fontKey="{942D0C03-7298-4701-8961-12E8FE9C3E0A}"/>
  </w:font>
  <w:font w:name="Courier New">
    <w:panose1 w:val="02070309020205020404"/>
    <w:charset w:val="01"/>
    <w:family w:val="modern"/>
    <w:pitch w:val="default"/>
    <w:sig w:usb0="E0002AFF" w:usb1="C0007843" w:usb2="00000009" w:usb3="00000000" w:csb0="400001FF" w:csb1="FFFF0000"/>
    <w:embedRegular r:id="rId4" w:fontKey="{C6E4748D-AAC1-4856-8BBF-FBB07EB73910}"/>
  </w:font>
  <w:font w:name="Symbol">
    <w:panose1 w:val="05050102010706020507"/>
    <w:charset w:val="02"/>
    <w:family w:val="roman"/>
    <w:pitch w:val="default"/>
    <w:sig w:usb0="00000000" w:usb1="00000000" w:usb2="00000000" w:usb3="00000000" w:csb0="80000000" w:csb1="00000000"/>
    <w:embedRegular r:id="rId5" w:fontKey="{89976E37-BE6B-438D-A1D7-6E2A3622610C}"/>
  </w:font>
  <w:font w:name="Calibri">
    <w:panose1 w:val="020F0502020204030204"/>
    <w:charset w:val="00"/>
    <w:family w:val="swiss"/>
    <w:pitch w:val="default"/>
    <w:sig w:usb0="E00002FF" w:usb1="4000ACFF" w:usb2="00000001" w:usb3="00000000" w:csb0="2000019F" w:csb1="00000000"/>
    <w:embedRegular r:id="rId6" w:fontKey="{3830791C-B15F-4764-AEEF-32CEE585E285}"/>
  </w:font>
  <w:font w:name="仿宋">
    <w:panose1 w:val="02010609060101010101"/>
    <w:charset w:val="86"/>
    <w:family w:val="modern"/>
    <w:pitch w:val="default"/>
    <w:sig w:usb0="800002BF" w:usb1="38CF7CFA" w:usb2="00000016" w:usb3="00000000" w:csb0="00040001" w:csb1="00000000"/>
    <w:embedRegular r:id="rId7" w:fontKey="{8C3B142F-9908-4736-9168-A3266F0A3941}"/>
  </w:font>
  <w:font w:name="方正小标宋_GBK">
    <w:panose1 w:val="02000000000000000000"/>
    <w:charset w:val="86"/>
    <w:family w:val="auto"/>
    <w:pitch w:val="default"/>
    <w:sig w:usb0="A00002BF" w:usb1="38CF7CFA" w:usb2="00082016" w:usb3="00000000" w:csb0="00040001" w:csb1="00000000"/>
    <w:embedRegular r:id="rId8" w:fontKey="{3577932D-0B2F-4D23-94D9-D40684840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1CC69"/>
    <w:multiLevelType w:val="singleLevel"/>
    <w:tmpl w:val="8381CC69"/>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attachedTemplate r:id="rId1"/>
  <w:documentProtection w:enforcement="0"/>
  <w:defaultTabStop w:val="420"/>
  <w:drawingGridHorizontalSpacing w:val="69"/>
  <w:drawingGridVerticalSpacing w:val="69"/>
  <w:displayHorizontalDrawingGridEvery w:val="0"/>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wMWU4OWNjMTNkMDVlNDQzYzM2MGFmMWVhYmI1N2IifQ=="/>
  </w:docVars>
  <w:rsids>
    <w:rsidRoot w:val="54534DCF"/>
    <w:rsid w:val="09E04D54"/>
    <w:rsid w:val="0AE01B90"/>
    <w:rsid w:val="0B1E10E1"/>
    <w:rsid w:val="0B3F43BD"/>
    <w:rsid w:val="11B433DE"/>
    <w:rsid w:val="12991A3E"/>
    <w:rsid w:val="13405DEA"/>
    <w:rsid w:val="171244A9"/>
    <w:rsid w:val="186C7681"/>
    <w:rsid w:val="1DA956BC"/>
    <w:rsid w:val="1EDD2B2F"/>
    <w:rsid w:val="200F124D"/>
    <w:rsid w:val="230627F9"/>
    <w:rsid w:val="259D5A59"/>
    <w:rsid w:val="267C6E59"/>
    <w:rsid w:val="2A2E4796"/>
    <w:rsid w:val="2CBC252D"/>
    <w:rsid w:val="30E65DCB"/>
    <w:rsid w:val="31A5592F"/>
    <w:rsid w:val="31D420C7"/>
    <w:rsid w:val="32EE69C5"/>
    <w:rsid w:val="399B7BFD"/>
    <w:rsid w:val="3C123F18"/>
    <w:rsid w:val="42683498"/>
    <w:rsid w:val="48181047"/>
    <w:rsid w:val="4B47565A"/>
    <w:rsid w:val="4C765016"/>
    <w:rsid w:val="4D624D8F"/>
    <w:rsid w:val="510B7FB1"/>
    <w:rsid w:val="514B3FD8"/>
    <w:rsid w:val="532D3ECB"/>
    <w:rsid w:val="54534DCF"/>
    <w:rsid w:val="54FE7B2D"/>
    <w:rsid w:val="55430F31"/>
    <w:rsid w:val="5756146C"/>
    <w:rsid w:val="5B17750D"/>
    <w:rsid w:val="627D333A"/>
    <w:rsid w:val="691F45E2"/>
    <w:rsid w:val="745B7101"/>
    <w:rsid w:val="78EE551A"/>
    <w:rsid w:val="7BDA4711"/>
    <w:rsid w:val="7D005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发文机关"/>
    <w:qFormat/>
    <w:uiPriority w:val="0"/>
    <w:pPr>
      <w:adjustRightInd w:val="0"/>
      <w:snapToGrid w:val="0"/>
      <w:spacing w:after="624" w:afterLines="200"/>
      <w:jc w:val="center"/>
    </w:pPr>
    <w:rPr>
      <w:rFonts w:ascii="Calibri" w:hAnsi="Calibri" w:eastAsia="宋体" w:cs="Times New Roman"/>
      <w:b/>
      <w:color w:val="FF0000"/>
      <w:w w:val="60"/>
      <w:kern w:val="2"/>
      <w:sz w:val="130"/>
      <w:szCs w:val="130"/>
      <w:lang w:val="en-US" w:eastAsia="zh-CN" w:bidi="ar-SA"/>
    </w:rPr>
  </w:style>
  <w:style w:type="paragraph" w:customStyle="1" w:styleId="7">
    <w:name w:val="发文字号"/>
    <w:qFormat/>
    <w:uiPriority w:val="0"/>
    <w:pPr>
      <w:pBdr>
        <w:bottom w:val="single" w:color="FF0000" w:sz="18" w:space="1"/>
      </w:pBdr>
      <w:jc w:val="center"/>
    </w:pPr>
    <w:rPr>
      <w:rFonts w:ascii="Calibri" w:hAnsi="Calibri" w:eastAsia="仿宋" w:cs="Times New Roman"/>
      <w:kern w:val="2"/>
      <w:sz w:val="32"/>
      <w:szCs w:val="21"/>
      <w:lang w:val="en-US" w:eastAsia="zh-CN" w:bidi="ar-SA"/>
    </w:rPr>
  </w:style>
  <w:style w:type="paragraph" w:customStyle="1" w:styleId="8">
    <w:name w:val="成文日期"/>
    <w:qFormat/>
    <w:uiPriority w:val="0"/>
    <w:pPr>
      <w:ind w:right="1280" w:rightChars="400"/>
      <w:jc w:val="right"/>
    </w:pPr>
    <w:rPr>
      <w:rFonts w:ascii="Calibri" w:hAnsi="Calibri" w:eastAsia="仿宋" w:cs="Times New Roman"/>
      <w:kern w:val="2"/>
      <w:sz w:val="32"/>
      <w:szCs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cerresourceshop\template\20668159\83663d5fea57b02771bdb0af15ba9ac5\&#215;&#215;&#20844;&#21496;&#26356;&#21517;&#36890;&#30693;&#20989;&#27169;&#26495;&#34892;&#25919;&#32418;&#22836;&#25991;&#2021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××公司更名通知函模板行政红头文件.docx</Template>
  <Pages>2</Pages>
  <Words>340</Words>
  <Characters>350</Characters>
  <Lines>0</Lines>
  <Paragraphs>0</Paragraphs>
  <TotalTime>39</TotalTime>
  <ScaleCrop>false</ScaleCrop>
  <LinksUpToDate>false</LinksUpToDate>
  <CharactersWithSpaces>385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2023-11-02T05:31:00Z</dcterms:created>
  <dc:creator>郭勤</dc:creator>
  <cp:lastModifiedBy>郭勤</cp:lastModifiedBy>
  <dcterms:modified xsi:type="dcterms:W3CDTF">2023-11-02T11:35:07Z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F497F9721D8F4AA697FE5645F13C6F23_13</vt:lpwstr>
  </property>
  <property fmtid="{D5CDD505-2E9C-101B-9397-08002B2CF9AE}" pid="4" name="commondata">
    <vt:lpwstr>eyJoZGlkIjoiYjY5MDcxOGI2YTc2YzBlNjI2YTA1NDRkZWMyNmRhMDUifQ==</vt:lpwstr>
  </property>
  <property fmtid="{D5CDD505-2E9C-101B-9397-08002B2CF9AE}" pid="5" name="KSOTemplateCategory">
    <vt:lpwstr>official</vt:lpwstr>
  </property>
</Properties>
</file>