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napToGrid/>
        <w:spacing w:after="0" w:afterLines="0" w:line="1700" w:lineRule="exact"/>
        <w:ind w:right="23" w:rightChars="11"/>
        <w:rPr>
          <w:rFonts w:hint="default" w:ascii="方正小标宋_GBK" w:hAnsi="方正小标宋_GBK" w:eastAsia="方正小标宋_GBK" w:cs="方正小标宋_GBK"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20"/>
          <w:w w:val="50"/>
          <w:kern w:val="15"/>
          <w:sz w:val="96"/>
          <w:szCs w:val="96"/>
        </w:rPr>
        <w:t>能源化工工程学院教学</w:t>
      </w:r>
      <w:r>
        <w:rPr>
          <w:rFonts w:hint="eastAsia" w:ascii="方正小标宋_GBK" w:hAnsi="方正小标宋_GBK" w:eastAsia="方正小标宋_GBK" w:cs="方正小标宋_GBK"/>
          <w:spacing w:val="20"/>
          <w:w w:val="50"/>
          <w:kern w:val="15"/>
          <w:sz w:val="96"/>
          <w:szCs w:val="96"/>
          <w:lang w:val="en-US" w:eastAsia="zh-CN"/>
        </w:rPr>
        <w:t>服务中心</w:t>
      </w:r>
      <w:bookmarkStart w:id="0" w:name="_GoBack"/>
      <w:bookmarkEnd w:id="0"/>
    </w:p>
    <w:p>
      <w:pPr>
        <w:spacing w:before="240"/>
        <w:jc w:val="left"/>
        <w:rPr>
          <w:rFonts w:ascii="黑体" w:hAnsi="黑体" w:eastAsia="黑体" w:cs="黑体"/>
          <w:bCs/>
          <w:color w:val="000000" w:themeColor="text1"/>
          <w:kern w:val="2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Cs/>
          <w:color w:val="000000" w:themeColor="text1"/>
          <w:kern w:val="2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60" w:lineRule="exact"/>
        <w:jc w:val="center"/>
        <w:textAlignment w:val="auto"/>
        <w:rPr>
          <w:rFonts w:hint="eastAsia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能源化工工程学院关于开展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2023-2024年第二学期实验课程开设情况统计及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综合性、设计性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、创新性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实验项目认定的通知</w:t>
      </w:r>
    </w:p>
    <w:p>
      <w:pPr>
        <w:spacing w:line="360" w:lineRule="auto"/>
        <w:jc w:val="left"/>
        <w:rPr>
          <w:rFonts w:hint="default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各教研室：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为进一步加强本科实验教学管理，学校决定对2023-2024学年第二学期开设的所有实验课程（包括专升本专业的实验课程）进行统计。为不断提高实验教学质量，进一步深化实验教学改革，优化和创新实验教学内容，根据《新疆理工学院综合性、设计性、创新性实验认定办法（试行）》，学校组织开展2023-2024学年第二学期综合性、设计性、创新性的实验项目认定。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根据学校的安排现将学院的对应工作安排如下：</w:t>
      </w:r>
    </w:p>
    <w:p>
      <w:pPr>
        <w:pStyle w:val="2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  <w:lang w:val="en-US" w:eastAsia="zh-CN"/>
        </w:rPr>
        <w:t>一、工作进度要求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完成时间：3月10日前。</w:t>
      </w:r>
    </w:p>
    <w:p>
      <w:pPr>
        <w:pStyle w:val="2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  <w:lang w:val="en-US" w:eastAsia="zh-CN"/>
        </w:rPr>
        <w:t>二、工作责任要求</w:t>
      </w:r>
    </w:p>
    <w:p>
      <w:p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认真、如实、完整填写本次统计数据，统计结果将作为以后实验教学检查、实验开出率核查以及实验教学工作量计算、核对的主要依据。</w:t>
      </w:r>
    </w:p>
    <w:p>
      <w:pPr>
        <w:numPr>
          <w:ilvl w:val="0"/>
          <w:numId w:val="0"/>
        </w:numPr>
        <w:spacing w:line="360" w:lineRule="auto"/>
        <w:ind w:leftChars="200"/>
        <w:jc w:val="left"/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请各教研室认真对照人才培养方案和教学安排认真梳理2023-2024年第二学期开设的所有实验课程（包括课内实验课程和独立实验课程），填报《XXXX学院202X-202X学年第XX学期实验课程信息统计表》，并梳理好“三性”实验项目课程和开设情况统计一览表。</w:t>
      </w:r>
    </w:p>
    <w:p>
      <w:pPr>
        <w:numPr>
          <w:ilvl w:val="0"/>
          <w:numId w:val="0"/>
        </w:numPr>
        <w:spacing w:line="360" w:lineRule="auto"/>
        <w:ind w:leftChars="200" w:firstLine="640" w:firstLineChars="200"/>
        <w:jc w:val="left"/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对于“三性”实验，要求各位教研室主任请该领域或与该领域相关的3至5名校内外副高级以上职称专家对所申报的“三性”实验进行论证审核，论证中对不符合综合性、设计性、创新性实验要求的实验项目，提出修改意见或直接认定为验证性实验或演示性实验等实验项目，论证通过后报院（部）负责人同意签字上交。</w:t>
      </w:r>
    </w:p>
    <w:p>
      <w:pPr>
        <w:pStyle w:val="2"/>
        <w:rPr>
          <w:rFonts w:hint="default" w:ascii="仿宋" w:hAnsi="仿宋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  <w:lang w:val="en-US" w:eastAsia="zh-CN"/>
        </w:rPr>
        <w:t>三、资料上交要求</w:t>
      </w:r>
    </w:p>
    <w:p>
      <w:pPr>
        <w:numPr>
          <w:ilvl w:val="0"/>
          <w:numId w:val="0"/>
        </w:numPr>
        <w:spacing w:line="360" w:lineRule="auto"/>
        <w:ind w:leftChars="200" w:firstLine="640" w:firstLineChars="20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sz w:val="32"/>
          <w:szCs w:val="32"/>
          <w:lang w:val="en-US" w:eastAsia="zh-CN"/>
        </w:rPr>
        <w:t>过控教研室由马雪琴对接；能化教研室由李丹丹对接；能服、材料化学、储能教研室由汪春娟对接。最终上交由汪春娟负责。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200"/>
        <w:jc w:val="center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 xml:space="preserve">                               </w:t>
      </w:r>
      <w:r>
        <w:rPr>
          <w:rFonts w:hint="eastAsia" w:ascii="仿宋" w:hAnsi="仿宋" w:eastAsia="仿宋" w:cs="Times New Roman"/>
          <w:sz w:val="32"/>
          <w:szCs w:val="32"/>
        </w:rPr>
        <w:t>能源化工工程学院</w:t>
      </w:r>
    </w:p>
    <w:p>
      <w:pPr>
        <w:spacing w:line="360" w:lineRule="auto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 xml:space="preserve">                                202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Times New Roman"/>
          <w:sz w:val="32"/>
          <w:szCs w:val="32"/>
        </w:rPr>
        <w:t>年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Times New Roman"/>
          <w:sz w:val="32"/>
          <w:szCs w:val="32"/>
        </w:rPr>
        <w:t>月</w:t>
      </w:r>
      <w:r>
        <w:rPr>
          <w:rFonts w:hint="eastAsia" w:ascii="仿宋" w:hAnsi="仿宋" w:eastAsia="仿宋" w:cs="Times New Roman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Times New Roman"/>
          <w:sz w:val="32"/>
          <w:szCs w:val="32"/>
        </w:rPr>
        <w:t>日</w:t>
      </w:r>
    </w:p>
    <w:p>
      <w:pPr>
        <w:spacing w:line="360" w:lineRule="auto"/>
        <w:ind w:left="640"/>
        <w:jc w:val="left"/>
        <w:rPr>
          <w:rFonts w:hint="eastAsia"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抄送：能化教研室、过控教研室、能服教研室、储能教研室、材化教研室</w:t>
      </w:r>
      <w:r>
        <w:rPr>
          <w:rFonts w:hint="eastAsia" w:ascii="仿宋" w:hAnsi="仿宋" w:eastAsia="仿宋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13970" b="43180"/>
                <wp:wrapTight wrapText="bothSides">
                  <wp:wrapPolygon>
                    <wp:start x="85" y="0"/>
                    <wp:lineTo x="85" y="-2147483648"/>
                    <wp:lineTo x="21600" y="-2147483648"/>
                    <wp:lineTo x="21600" y="0"/>
                    <wp:lineTo x="85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69.8pt;margin-top:769.9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85 0 85 -2147483648 21600 -2147483648 21600 0 85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 w:eastAsia="仿宋" w:cs="Times New Roman"/>
          <w:sz w:val="32"/>
          <w:szCs w:val="32"/>
        </w:rPr>
        <w:t>、学院实验实训中心</w:t>
      </w:r>
    </w:p>
    <w:p>
      <w:pPr>
        <w:spacing w:line="360" w:lineRule="auto"/>
        <w:ind w:firstLine="640" w:firstLineChars="200"/>
        <w:jc w:val="left"/>
        <w:rPr>
          <w:rFonts w:hint="default" w:ascii="仿宋" w:hAnsi="仿宋" w:eastAsia="仿宋" w:cs="Times New Roman"/>
          <w:b w:val="0"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765E23-299F-4AA5-91F2-1521FFDE819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C096C89-8716-4C9F-ACA3-F313299690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8B39730-0C36-4166-9892-5B65FBF32BF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C12819B-C30B-4146-8924-78C95B1F92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1DA7B03-B1DA-4FA1-818F-63DC8665860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8EE009C-0960-4602-9A50-820A2F89C1C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A83C79B-FF04-4C16-8E36-0D347EB72AD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767BA128-53F8-4301-9529-184619EEBF6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189A07F3-DABE-40B3-9DB7-BF3B9747F4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00000000"/>
    <w:rsid w:val="012523F6"/>
    <w:rsid w:val="01623273"/>
    <w:rsid w:val="0293294A"/>
    <w:rsid w:val="07883367"/>
    <w:rsid w:val="07997C16"/>
    <w:rsid w:val="07FE3379"/>
    <w:rsid w:val="0AB30227"/>
    <w:rsid w:val="0AD87B45"/>
    <w:rsid w:val="0C491365"/>
    <w:rsid w:val="0DA80526"/>
    <w:rsid w:val="118A0054"/>
    <w:rsid w:val="11E017E5"/>
    <w:rsid w:val="145325BA"/>
    <w:rsid w:val="155F30E4"/>
    <w:rsid w:val="17A87E33"/>
    <w:rsid w:val="22614BCD"/>
    <w:rsid w:val="249C1D1C"/>
    <w:rsid w:val="2A901846"/>
    <w:rsid w:val="2E870FE2"/>
    <w:rsid w:val="2FA05332"/>
    <w:rsid w:val="301607F4"/>
    <w:rsid w:val="32972D39"/>
    <w:rsid w:val="32C56DD8"/>
    <w:rsid w:val="332B05DF"/>
    <w:rsid w:val="3CFB03B1"/>
    <w:rsid w:val="44456F91"/>
    <w:rsid w:val="46746688"/>
    <w:rsid w:val="46A21F54"/>
    <w:rsid w:val="4C155351"/>
    <w:rsid w:val="50847350"/>
    <w:rsid w:val="50C4668F"/>
    <w:rsid w:val="539F464E"/>
    <w:rsid w:val="54A156E6"/>
    <w:rsid w:val="57CC0441"/>
    <w:rsid w:val="5C6C0DBF"/>
    <w:rsid w:val="5CEE6205"/>
    <w:rsid w:val="5DDA1D2D"/>
    <w:rsid w:val="5E7F1E13"/>
    <w:rsid w:val="60A677FC"/>
    <w:rsid w:val="620A09B1"/>
    <w:rsid w:val="6CA9332D"/>
    <w:rsid w:val="6D32277E"/>
    <w:rsid w:val="6E8A4EBF"/>
    <w:rsid w:val="6EA27F90"/>
    <w:rsid w:val="707440EB"/>
    <w:rsid w:val="7C4B4AAE"/>
    <w:rsid w:val="7CB5799B"/>
    <w:rsid w:val="7F2C2B66"/>
    <w:rsid w:val="7F33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unhideWhenUsed/>
    <w:qFormat/>
    <w:uiPriority w:val="0"/>
    <w:pPr>
      <w:keepNext/>
      <w:keepLines/>
      <w:adjustRightInd w:val="0"/>
      <w:spacing w:beforeLines="0" w:beforeAutospacing="0" w:afterLines="0" w:afterAutospacing="0" w:line="560" w:lineRule="exact"/>
      <w:ind w:firstLine="643" w:firstLineChars="200"/>
      <w:outlineLvl w:val="2"/>
    </w:pPr>
    <w:rPr>
      <w:rFonts w:ascii="Times New Roman" w:hAnsi="Times New Roman" w:eastAsia="楷体" w:cs="Times New Roman"/>
      <w:b/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unhideWhenUsed/>
    <w:qFormat/>
    <w:uiPriority w:val="1"/>
    <w:rPr>
      <w:sz w:val="32"/>
      <w:szCs w:val="24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itle"/>
    <w:basedOn w:val="1"/>
    <w:next w:val="1"/>
    <w:autoRedefine/>
    <w:qFormat/>
    <w:uiPriority w:val="10"/>
    <w:pPr>
      <w:pBdr>
        <w:left w:val="single" w:color="FFFFFF" w:sz="4" w:space="7"/>
        <w:bottom w:val="single" w:color="526677" w:sz="4" w:space="3"/>
        <w:right w:val="single" w:color="FFFFFF" w:sz="4" w:space="7"/>
      </w:pBdr>
      <w:spacing w:before="0" w:after="180"/>
    </w:pPr>
    <w:rPr>
      <w:color w:val="6C1B78"/>
      <w:kern w:val="28"/>
      <w:sz w:val="48"/>
      <w:szCs w:val="4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Heading1"/>
    <w:basedOn w:val="1"/>
    <w:next w:val="1"/>
    <w:autoRedefine/>
    <w:qFormat/>
    <w:uiPriority w:val="0"/>
    <w:pPr>
      <w:spacing w:line="360" w:lineRule="auto"/>
      <w:jc w:val="center"/>
      <w:textAlignment w:val="baseline"/>
    </w:pPr>
    <w:rPr>
      <w:rFonts w:ascii="Calibri" w:hAnsi="Calibri" w:eastAsia="宋体" w:cs="Arial"/>
      <w:bCs/>
      <w:kern w:val="44"/>
      <w:sz w:val="32"/>
      <w:szCs w:val="44"/>
      <w:lang w:val="en-US" w:eastAsia="zh-CN" w:bidi="ar-SA"/>
    </w:rPr>
  </w:style>
  <w:style w:type="paragraph" w:customStyle="1" w:styleId="12">
    <w:name w:val="发文机关"/>
    <w:autoRedefine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13">
    <w:name w:val="发文字号"/>
    <w:autoRedefine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14">
    <w:name w:val="成文日期"/>
    <w:autoRedefine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5">
    <w:name w:val="font11"/>
    <w:basedOn w:val="9"/>
    <w:autoRedefine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6">
    <w:name w:val="font21"/>
    <w:basedOn w:val="9"/>
    <w:autoRedefine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7">
    <w:name w:val="font61"/>
    <w:basedOn w:val="9"/>
    <w:autoRedefine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18">
    <w:name w:val="font71"/>
    <w:basedOn w:val="9"/>
    <w:autoRedefine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19">
    <w:name w:val="font101"/>
    <w:basedOn w:val="9"/>
    <w:autoRedefine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0">
    <w:name w:val="font81"/>
    <w:basedOn w:val="9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21">
    <w:name w:val="font91"/>
    <w:basedOn w:val="9"/>
    <w:autoRedefine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  <w:style w:type="character" w:customStyle="1" w:styleId="22">
    <w:name w:val="font112"/>
    <w:basedOn w:val="9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1</Pages>
  <Words>235</Words>
  <Characters>245</Characters>
  <Lines>4</Lines>
  <Paragraphs>1</Paragraphs>
  <TotalTime>3</TotalTime>
  <ScaleCrop>false</ScaleCrop>
  <LinksUpToDate>false</LinksUpToDate>
  <CharactersWithSpaces>298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2024-03-03T15:12:06Z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B2D220B782914A0CACAB9467D1CB5531_13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